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D5F" w:rsidRDefault="00D438D0" w:rsidP="006E2D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ОГЭ – 2019</w:t>
      </w:r>
      <w:r w:rsidR="006E2D5F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  <w:r w:rsidR="008D7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507">
        <w:rPr>
          <w:rFonts w:ascii="Times New Roman" w:hAnsi="Times New Roman" w:cs="Times New Roman"/>
          <w:b/>
          <w:sz w:val="24"/>
          <w:szCs w:val="24"/>
        </w:rPr>
        <w:t xml:space="preserve">МБОУ СОШ с. </w:t>
      </w:r>
      <w:proofErr w:type="spellStart"/>
      <w:r w:rsidR="008D7507">
        <w:rPr>
          <w:rFonts w:ascii="Times New Roman" w:hAnsi="Times New Roman" w:cs="Times New Roman"/>
          <w:b/>
          <w:sz w:val="24"/>
          <w:szCs w:val="24"/>
        </w:rPr>
        <w:t>Иштии-Хем</w:t>
      </w:r>
      <w:proofErr w:type="spellEnd"/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D438D0">
        <w:rPr>
          <w:rFonts w:ascii="Times New Roman" w:hAnsi="Times New Roman" w:cs="Times New Roman"/>
          <w:sz w:val="24"/>
          <w:szCs w:val="24"/>
        </w:rPr>
        <w:t xml:space="preserve"> 06.06.2019</w:t>
      </w:r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Сдавали:</w:t>
      </w:r>
      <w:r>
        <w:rPr>
          <w:rFonts w:ascii="Times New Roman" w:hAnsi="Times New Roman" w:cs="Times New Roman"/>
          <w:sz w:val="24"/>
          <w:szCs w:val="24"/>
        </w:rPr>
        <w:t xml:space="preserve"> 8 учащихся </w:t>
      </w:r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Учитель-предметник: </w:t>
      </w:r>
      <w:proofErr w:type="spellStart"/>
      <w:r w:rsidR="00D438D0">
        <w:rPr>
          <w:rFonts w:ascii="Times New Roman" w:hAnsi="Times New Roman" w:cs="Times New Roman"/>
          <w:sz w:val="24"/>
          <w:szCs w:val="24"/>
        </w:rPr>
        <w:t>Шойдаа</w:t>
      </w:r>
      <w:proofErr w:type="spellEnd"/>
      <w:r w:rsidR="00D43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8D0"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 w:rsidR="00D43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8D0">
        <w:rPr>
          <w:rFonts w:ascii="Times New Roman" w:hAnsi="Times New Roman" w:cs="Times New Roman"/>
          <w:sz w:val="24"/>
          <w:szCs w:val="24"/>
        </w:rPr>
        <w:t>Кыргысовна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высшее образование, </w:t>
      </w:r>
      <w:r w:rsidR="00D438D0">
        <w:rPr>
          <w:rFonts w:ascii="Times New Roman" w:hAnsi="Times New Roman" w:cs="Times New Roman"/>
          <w:sz w:val="24"/>
          <w:szCs w:val="24"/>
        </w:rPr>
        <w:t xml:space="preserve">первая квалификационная категория, стаж работы 13 </w:t>
      </w:r>
      <w:r>
        <w:rPr>
          <w:rFonts w:ascii="Times New Roman" w:hAnsi="Times New Roman" w:cs="Times New Roman"/>
          <w:sz w:val="24"/>
          <w:szCs w:val="24"/>
        </w:rPr>
        <w:t xml:space="preserve">лет. </w:t>
      </w:r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Классный руководитель:</w:t>
      </w:r>
      <w:r w:rsidR="00D43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8D0">
        <w:rPr>
          <w:rFonts w:ascii="Times New Roman" w:hAnsi="Times New Roman" w:cs="Times New Roman"/>
          <w:sz w:val="24"/>
          <w:szCs w:val="24"/>
        </w:rPr>
        <w:t>Мунзук</w:t>
      </w:r>
      <w:proofErr w:type="spellEnd"/>
      <w:r w:rsidR="00D438D0">
        <w:rPr>
          <w:rFonts w:ascii="Times New Roman" w:hAnsi="Times New Roman" w:cs="Times New Roman"/>
          <w:sz w:val="24"/>
          <w:szCs w:val="24"/>
        </w:rPr>
        <w:t xml:space="preserve"> Лада Романовна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50E1" w:rsidRPr="00F950E1" w:rsidRDefault="00F950E1" w:rsidP="00F950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0E1">
        <w:rPr>
          <w:rFonts w:ascii="Times New Roman" w:hAnsi="Times New Roman" w:cs="Times New Roman"/>
          <w:sz w:val="24"/>
          <w:szCs w:val="24"/>
        </w:rPr>
        <w:t>Работа состоит из двух модулей: «Алге</w:t>
      </w:r>
      <w:r>
        <w:rPr>
          <w:rFonts w:ascii="Times New Roman" w:hAnsi="Times New Roman" w:cs="Times New Roman"/>
          <w:sz w:val="24"/>
          <w:szCs w:val="24"/>
        </w:rPr>
        <w:t>бра» и «Геометрия». В каждом мо</w:t>
      </w:r>
      <w:r w:rsidRPr="00F950E1">
        <w:rPr>
          <w:rFonts w:ascii="Times New Roman" w:hAnsi="Times New Roman" w:cs="Times New Roman"/>
          <w:sz w:val="24"/>
          <w:szCs w:val="24"/>
        </w:rPr>
        <w:t>дуле две части, соответствующие проверке на базовом и повышенном уровнях.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E1">
        <w:rPr>
          <w:rFonts w:ascii="Times New Roman" w:hAnsi="Times New Roman" w:cs="Times New Roman"/>
          <w:sz w:val="24"/>
          <w:szCs w:val="24"/>
        </w:rPr>
        <w:t>При проверке базовой математической компетентности 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E1">
        <w:rPr>
          <w:rFonts w:ascii="Times New Roman" w:hAnsi="Times New Roman" w:cs="Times New Roman"/>
          <w:sz w:val="24"/>
          <w:szCs w:val="24"/>
        </w:rPr>
        <w:t>должны продемонстрировать владение основ</w:t>
      </w:r>
      <w:r>
        <w:rPr>
          <w:rFonts w:ascii="Times New Roman" w:hAnsi="Times New Roman" w:cs="Times New Roman"/>
          <w:sz w:val="24"/>
          <w:szCs w:val="24"/>
        </w:rPr>
        <w:t>ными алгоритмами, знание и пони</w:t>
      </w:r>
      <w:r w:rsidRPr="00F950E1">
        <w:rPr>
          <w:rFonts w:ascii="Times New Roman" w:hAnsi="Times New Roman" w:cs="Times New Roman"/>
          <w:sz w:val="24"/>
          <w:szCs w:val="24"/>
        </w:rPr>
        <w:t>мание ключевых элементов содержания (математических понятий, их свойств,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E1">
        <w:rPr>
          <w:rFonts w:ascii="Times New Roman" w:hAnsi="Times New Roman" w:cs="Times New Roman"/>
          <w:sz w:val="24"/>
          <w:szCs w:val="24"/>
        </w:rPr>
        <w:t>приёмов решения задач и проч.), умение пользоваться математической записью,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E1">
        <w:rPr>
          <w:rFonts w:ascii="Times New Roman" w:hAnsi="Times New Roman" w:cs="Times New Roman"/>
          <w:sz w:val="24"/>
          <w:szCs w:val="24"/>
        </w:rPr>
        <w:t>применять знания к решению математических задач, не сводящихся к прямому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E1">
        <w:rPr>
          <w:rFonts w:ascii="Times New Roman" w:hAnsi="Times New Roman" w:cs="Times New Roman"/>
          <w:sz w:val="24"/>
          <w:szCs w:val="24"/>
        </w:rPr>
        <w:t xml:space="preserve">применению алгоритма, а также применять </w:t>
      </w:r>
      <w:r>
        <w:rPr>
          <w:rFonts w:ascii="Times New Roman" w:hAnsi="Times New Roman" w:cs="Times New Roman"/>
          <w:sz w:val="24"/>
          <w:szCs w:val="24"/>
        </w:rPr>
        <w:t>математические знания в простей</w:t>
      </w:r>
      <w:r w:rsidRPr="00F950E1">
        <w:rPr>
          <w:rFonts w:ascii="Times New Roman" w:hAnsi="Times New Roman" w:cs="Times New Roman"/>
          <w:sz w:val="24"/>
          <w:szCs w:val="24"/>
        </w:rPr>
        <w:t>ших практических ситуациях.</w:t>
      </w:r>
    </w:p>
    <w:p w:rsidR="00F950E1" w:rsidRPr="00F950E1" w:rsidRDefault="00F950E1" w:rsidP="00F95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0E1">
        <w:rPr>
          <w:rFonts w:ascii="Times New Roman" w:hAnsi="Times New Roman" w:cs="Times New Roman"/>
          <w:sz w:val="24"/>
          <w:szCs w:val="24"/>
        </w:rPr>
        <w:t>Части 2 модулей «Алгебра» и «Геомет</w:t>
      </w:r>
      <w:r>
        <w:rPr>
          <w:rFonts w:ascii="Times New Roman" w:hAnsi="Times New Roman" w:cs="Times New Roman"/>
          <w:sz w:val="24"/>
          <w:szCs w:val="24"/>
        </w:rPr>
        <w:t>рия» направлены на проверку вла</w:t>
      </w:r>
      <w:r w:rsidRPr="00F950E1">
        <w:rPr>
          <w:rFonts w:ascii="Times New Roman" w:hAnsi="Times New Roman" w:cs="Times New Roman"/>
          <w:sz w:val="24"/>
          <w:szCs w:val="24"/>
        </w:rPr>
        <w:t>дения материалом на повышенном уровне. Их назначение — дифференцировать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E1">
        <w:rPr>
          <w:rFonts w:ascii="Times New Roman" w:hAnsi="Times New Roman" w:cs="Times New Roman"/>
          <w:sz w:val="24"/>
          <w:szCs w:val="24"/>
        </w:rPr>
        <w:t>хорошо успевающих школьников по уровням подготовки, выявить 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E1">
        <w:rPr>
          <w:rFonts w:ascii="Times New Roman" w:hAnsi="Times New Roman" w:cs="Times New Roman"/>
          <w:sz w:val="24"/>
          <w:szCs w:val="24"/>
        </w:rPr>
        <w:t>подготовленную часть выпускников, составляющую потенциальный контингент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E1">
        <w:rPr>
          <w:rFonts w:ascii="Times New Roman" w:hAnsi="Times New Roman" w:cs="Times New Roman"/>
          <w:sz w:val="24"/>
          <w:szCs w:val="24"/>
        </w:rPr>
        <w:t>профильных классов. Эти части содержат за</w:t>
      </w:r>
      <w:r>
        <w:rPr>
          <w:rFonts w:ascii="Times New Roman" w:hAnsi="Times New Roman" w:cs="Times New Roman"/>
          <w:sz w:val="24"/>
          <w:szCs w:val="24"/>
        </w:rPr>
        <w:t>дания повышенного уровня сложно</w:t>
      </w:r>
      <w:r w:rsidRPr="00F950E1">
        <w:rPr>
          <w:rFonts w:ascii="Times New Roman" w:hAnsi="Times New Roman" w:cs="Times New Roman"/>
          <w:sz w:val="24"/>
          <w:szCs w:val="24"/>
        </w:rPr>
        <w:t xml:space="preserve">сти из различных разделов курса математики. </w:t>
      </w:r>
      <w:r>
        <w:rPr>
          <w:rFonts w:ascii="Times New Roman" w:hAnsi="Times New Roman" w:cs="Times New Roman"/>
          <w:sz w:val="24"/>
          <w:szCs w:val="24"/>
        </w:rPr>
        <w:t>Все задания требуют записи реше</w:t>
      </w:r>
      <w:r w:rsidRPr="00F950E1">
        <w:rPr>
          <w:rFonts w:ascii="Times New Roman" w:hAnsi="Times New Roman" w:cs="Times New Roman"/>
          <w:sz w:val="24"/>
          <w:szCs w:val="24"/>
        </w:rPr>
        <w:t>ний и ответа. Задания расположены по нараст</w:t>
      </w:r>
      <w:r>
        <w:rPr>
          <w:rFonts w:ascii="Times New Roman" w:hAnsi="Times New Roman" w:cs="Times New Roman"/>
          <w:sz w:val="24"/>
          <w:szCs w:val="24"/>
        </w:rPr>
        <w:t>анию трудности — от относитель</w:t>
      </w:r>
      <w:r w:rsidRPr="00F950E1">
        <w:rPr>
          <w:rFonts w:ascii="Times New Roman" w:hAnsi="Times New Roman" w:cs="Times New Roman"/>
          <w:sz w:val="24"/>
          <w:szCs w:val="24"/>
        </w:rPr>
        <w:t>но простых до сложных, предполагающих своб</w:t>
      </w:r>
      <w:r>
        <w:rPr>
          <w:rFonts w:ascii="Times New Roman" w:hAnsi="Times New Roman" w:cs="Times New Roman"/>
          <w:sz w:val="24"/>
          <w:szCs w:val="24"/>
        </w:rPr>
        <w:t>одное владение материалом и хо</w:t>
      </w:r>
      <w:r w:rsidRPr="00F950E1">
        <w:rPr>
          <w:rFonts w:ascii="Times New Roman" w:hAnsi="Times New Roman" w:cs="Times New Roman"/>
          <w:sz w:val="24"/>
          <w:szCs w:val="24"/>
        </w:rPr>
        <w:t>роший уровень математической культуры.</w:t>
      </w:r>
    </w:p>
    <w:p w:rsidR="00F950E1" w:rsidRPr="00F950E1" w:rsidRDefault="00F950E1" w:rsidP="00F95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0E1">
        <w:rPr>
          <w:rFonts w:ascii="Times New Roman" w:hAnsi="Times New Roman" w:cs="Times New Roman"/>
          <w:sz w:val="24"/>
          <w:szCs w:val="24"/>
        </w:rPr>
        <w:t>Модуль «Алгебра» содержит 17 з</w:t>
      </w:r>
      <w:r>
        <w:rPr>
          <w:rFonts w:ascii="Times New Roman" w:hAnsi="Times New Roman" w:cs="Times New Roman"/>
          <w:sz w:val="24"/>
          <w:szCs w:val="24"/>
        </w:rPr>
        <w:t xml:space="preserve">аданий: в части 1 — 14 заданий; </w:t>
      </w:r>
      <w:r w:rsidRPr="00F950E1">
        <w:rPr>
          <w:rFonts w:ascii="Times New Roman" w:hAnsi="Times New Roman" w:cs="Times New Roman"/>
          <w:sz w:val="24"/>
          <w:szCs w:val="24"/>
        </w:rPr>
        <w:t>в части 2 — 3 задания.</w:t>
      </w:r>
    </w:p>
    <w:p w:rsidR="00F950E1" w:rsidRPr="00F950E1" w:rsidRDefault="00F950E1" w:rsidP="00F95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0E1">
        <w:rPr>
          <w:rFonts w:ascii="Times New Roman" w:hAnsi="Times New Roman" w:cs="Times New Roman"/>
          <w:sz w:val="24"/>
          <w:szCs w:val="24"/>
        </w:rPr>
        <w:t>Модуль «Геометрия» содержит 9 заданий: в части 1 — 6 заданий;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E1">
        <w:rPr>
          <w:rFonts w:ascii="Times New Roman" w:hAnsi="Times New Roman" w:cs="Times New Roman"/>
          <w:sz w:val="24"/>
          <w:szCs w:val="24"/>
        </w:rPr>
        <w:t>в части 2 — 3 задания.</w:t>
      </w:r>
    </w:p>
    <w:p w:rsidR="00F950E1" w:rsidRDefault="00F950E1" w:rsidP="00F95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0E1">
        <w:rPr>
          <w:rFonts w:ascii="Times New Roman" w:hAnsi="Times New Roman" w:cs="Times New Roman"/>
          <w:sz w:val="24"/>
          <w:szCs w:val="24"/>
        </w:rPr>
        <w:t>Всего в работе 26 заданий, из которых 20 заданий базового уровня,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0E1">
        <w:rPr>
          <w:rFonts w:ascii="Times New Roman" w:hAnsi="Times New Roman" w:cs="Times New Roman"/>
          <w:sz w:val="24"/>
          <w:szCs w:val="24"/>
        </w:rPr>
        <w:t>4 задания повышенного уровня и 2 задания высокого уровня.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1448"/>
        <w:gridCol w:w="1387"/>
        <w:gridCol w:w="1873"/>
        <w:gridCol w:w="3260"/>
        <w:gridCol w:w="4023"/>
        <w:gridCol w:w="797"/>
        <w:gridCol w:w="536"/>
      </w:tblGrid>
      <w:tr w:rsidR="006E2D5F" w:rsidRPr="006E2D5F" w:rsidTr="00691A5D">
        <w:trPr>
          <w:cantSplit/>
          <w:trHeight w:val="1549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D5F" w:rsidRPr="006E2D5F" w:rsidRDefault="006E2D5F" w:rsidP="0069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D5F" w:rsidRPr="006E2D5F" w:rsidRDefault="006E2D5F" w:rsidP="0069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D5F" w:rsidRPr="006E2D5F" w:rsidRDefault="006E2D5F" w:rsidP="0069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D5F" w:rsidRPr="006E2D5F" w:rsidRDefault="006E2D5F" w:rsidP="0069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 с кратким ответом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2D5F" w:rsidRPr="006E2D5F" w:rsidRDefault="006E2D5F" w:rsidP="0069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2D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 с развёрнутым ответом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E2D5F" w:rsidRPr="006E2D5F" w:rsidRDefault="006E2D5F" w:rsidP="00691A5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Первичный балл 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E2D5F" w:rsidRPr="006E2D5F" w:rsidRDefault="006E2D5F" w:rsidP="00691A5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Оценка </w:t>
            </w:r>
          </w:p>
        </w:tc>
      </w:tr>
      <w:tr w:rsidR="00D438D0" w:rsidRPr="006E2D5F" w:rsidTr="00035C0B">
        <w:trPr>
          <w:trHeight w:val="228"/>
        </w:trPr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Чайзана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Айдысовна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+------+------------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0(2)0(2)0(2)0(2)0(2)0(2)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438D0" w:rsidRPr="006E2D5F" w:rsidTr="00035C0B">
        <w:trPr>
          <w:trHeight w:val="228"/>
        </w:trPr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Начын-оол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+++-+-+++-+-+--+----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0(2)0(2)0(2)0(2)0(2)0(2)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438D0" w:rsidRPr="006E2D5F" w:rsidTr="00035C0B">
        <w:trPr>
          <w:trHeight w:val="214"/>
        </w:trPr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Шожут</w:t>
            </w:r>
            <w:proofErr w:type="spellEnd"/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Виолета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Витальевна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+---+--+-+--+-----+-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0(2)0(2)0(2)0(2)0(2)0(2)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438D0" w:rsidRPr="006E2D5F" w:rsidTr="00035C0B">
        <w:trPr>
          <w:trHeight w:val="228"/>
        </w:trPr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Шаравии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Аясович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-+-----------+-----+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0(2)0(2)0(2)0(2)0(2)0(2)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438D0" w:rsidRPr="006E2D5F" w:rsidTr="00035C0B">
        <w:trPr>
          <w:trHeight w:val="228"/>
        </w:trPr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Дангыт-оол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Аликовна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+-++---++---+-----++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0(2)0(2)0(2)0(2)0(2)0(2)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438D0" w:rsidRPr="006E2D5F" w:rsidTr="00035C0B">
        <w:trPr>
          <w:trHeight w:val="228"/>
        </w:trPr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Байырмаа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Айрана 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Дамыраковна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+--++--++---+--+--++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0(2)0(2)0(2)0(2)0(2)0(2)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438D0" w:rsidRPr="006E2D5F" w:rsidTr="00035C0B">
        <w:trPr>
          <w:trHeight w:val="214"/>
        </w:trPr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Кылын-оол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Айдыс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Леонидович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+++-+-+++----+--++-+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0(2)0(2)0(2)0(2)0(2)0(2)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438D0" w:rsidRPr="006E2D5F" w:rsidTr="00035C0B">
        <w:trPr>
          <w:trHeight w:val="228"/>
        </w:trPr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Долума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Найыр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8D0" w:rsidRDefault="00D438D0" w:rsidP="00D43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Сергеевич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--+----+------------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D438D0" w:rsidP="00D438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</w:pPr>
            <w:r w:rsidRPr="00D438D0">
              <w:rPr>
                <w:rFonts w:ascii="Courier New" w:hAnsi="Courier New" w:cs="Courier New"/>
                <w:bCs/>
                <w:color w:val="000000"/>
                <w:sz w:val="24"/>
                <w:szCs w:val="24"/>
              </w:rPr>
              <w:t>0(2)0(2)0(2)0(2)0(2)0(2)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38D0" w:rsidRPr="006E2D5F" w:rsidRDefault="00F950E1" w:rsidP="00D438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не справились заданиями с развернутыми ответами. Задания части 2 экзаменационной работы направлены на проверку таких качеств геометрической подготовки выпускников, как:</w:t>
      </w:r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умение решить планиметрическую задачу, применяя различные теоретические знания курса геометрии;</w:t>
      </w:r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математически грамотно и ясно записать решение, приводя при этом необходимые пояснения и обоснования;</w:t>
      </w:r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владение широким спектром приемов и способов рассуждений.</w:t>
      </w:r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4"/>
        <w:gridCol w:w="2851"/>
      </w:tblGrid>
      <w:tr w:rsidR="006E2D5F" w:rsidTr="006E2D5F">
        <w:trPr>
          <w:trHeight w:hRule="exact" w:val="53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D5F" w:rsidRDefault="006E2D5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  <w:t>Показатель</w:t>
            </w:r>
          </w:p>
          <w:p w:rsidR="006E2D5F" w:rsidRDefault="006E2D5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  <w:lang w:eastAsia="ru-RU"/>
              </w:rPr>
            </w:pPr>
          </w:p>
          <w:p w:rsidR="006E2D5F" w:rsidRDefault="006E2D5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D5F" w:rsidRDefault="00D438D0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  <w:lang w:eastAsia="ru-RU"/>
              </w:rPr>
              <w:t>2019</w:t>
            </w:r>
          </w:p>
          <w:p w:rsidR="006E2D5F" w:rsidRDefault="006E2D5F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2D5F" w:rsidTr="006E2D5F">
        <w:trPr>
          <w:trHeight w:hRule="exact" w:val="4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D5F" w:rsidRDefault="006E2D5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ОГЭ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D5F" w:rsidRDefault="00D438D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E2D5F" w:rsidTr="006E2D5F">
        <w:trPr>
          <w:trHeight w:hRule="exact" w:val="41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D5F" w:rsidRDefault="006E2D5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Макс. балл ОГЭ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D5F" w:rsidRDefault="00D438D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6E2D5F" w:rsidTr="006E2D5F">
        <w:trPr>
          <w:trHeight w:hRule="exact" w:val="42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D5F" w:rsidRDefault="006E2D5F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Мин. балл ОГЭ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E2D5F" w:rsidRDefault="006E2D5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6E2D5F" w:rsidRDefault="00F950E1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балл: 3,1 (повышение на 1,1</w:t>
      </w:r>
      <w:r w:rsidR="006E2D5F">
        <w:rPr>
          <w:rFonts w:ascii="Times New Roman" w:hAnsi="Times New Roman" w:cs="Times New Roman"/>
          <w:sz w:val="24"/>
          <w:szCs w:val="24"/>
        </w:rPr>
        <w:t xml:space="preserve"> балла с аналогичным периодом прошлого года).</w:t>
      </w:r>
    </w:p>
    <w:p w:rsidR="006E2D5F" w:rsidRDefault="00F950E1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Успеваемость обучения:66,6% (повышение на 66,6</w:t>
      </w:r>
      <w:r w:rsidR="006E2D5F">
        <w:rPr>
          <w:rFonts w:ascii="Times New Roman" w:hAnsi="Times New Roman" w:cs="Times New Roman"/>
          <w:sz w:val="24"/>
          <w:szCs w:val="24"/>
        </w:rPr>
        <w:t>% с аналогичным периодом прошлого года).</w:t>
      </w:r>
    </w:p>
    <w:p w:rsidR="006E2D5F" w:rsidRDefault="00F950E1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обучения: 33,3% (повышение на 33,3</w:t>
      </w:r>
      <w:r w:rsidR="006E2D5F">
        <w:rPr>
          <w:rFonts w:ascii="Times New Roman" w:hAnsi="Times New Roman" w:cs="Times New Roman"/>
          <w:sz w:val="24"/>
          <w:szCs w:val="24"/>
        </w:rPr>
        <w:t>% с аналогичным периодом прошлого года).</w:t>
      </w:r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6E2D5F" w:rsidRDefault="006E2D5F" w:rsidP="006E2D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</w:t>
      </w:r>
      <w:r w:rsidR="00D438D0">
        <w:rPr>
          <w:rFonts w:ascii="Times New Roman" w:hAnsi="Times New Roman" w:cs="Times New Roman"/>
          <w:sz w:val="24"/>
          <w:szCs w:val="24"/>
        </w:rPr>
        <w:t>мальный балл ОГЭ не преодолели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8D0">
        <w:rPr>
          <w:rFonts w:ascii="Times New Roman" w:hAnsi="Times New Roman" w:cs="Times New Roman"/>
          <w:sz w:val="24"/>
          <w:szCs w:val="24"/>
        </w:rPr>
        <w:t xml:space="preserve">выпускников </w:t>
      </w:r>
      <w:r w:rsidR="008D7507">
        <w:rPr>
          <w:rFonts w:ascii="Times New Roman" w:hAnsi="Times New Roman" w:cs="Times New Roman"/>
          <w:sz w:val="24"/>
          <w:szCs w:val="24"/>
        </w:rPr>
        <w:t>33,3</w:t>
      </w:r>
      <w:r>
        <w:rPr>
          <w:rFonts w:ascii="Times New Roman" w:hAnsi="Times New Roman" w:cs="Times New Roman"/>
          <w:sz w:val="24"/>
          <w:szCs w:val="24"/>
        </w:rPr>
        <w:t>%</w:t>
      </w:r>
      <w:r w:rsidR="0043661E">
        <w:rPr>
          <w:rFonts w:ascii="Times New Roman" w:hAnsi="Times New Roman" w:cs="Times New Roman"/>
          <w:sz w:val="24"/>
          <w:szCs w:val="24"/>
        </w:rPr>
        <w:t>. Результаты ОГЭ</w:t>
      </w:r>
      <w:r w:rsidR="00D438D0">
        <w:rPr>
          <w:rFonts w:ascii="Times New Roman" w:hAnsi="Times New Roman" w:cs="Times New Roman"/>
          <w:sz w:val="24"/>
          <w:szCs w:val="24"/>
        </w:rPr>
        <w:t xml:space="preserve"> по математике на низком</w:t>
      </w:r>
      <w:r>
        <w:rPr>
          <w:rFonts w:ascii="Times New Roman" w:hAnsi="Times New Roman" w:cs="Times New Roman"/>
          <w:sz w:val="24"/>
          <w:szCs w:val="24"/>
        </w:rPr>
        <w:t xml:space="preserve"> уровне. </w:t>
      </w:r>
    </w:p>
    <w:p w:rsidR="006E2D5F" w:rsidRDefault="006E2D5F" w:rsidP="006E2D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Низкие результаты ОГЭ по математике, вызвано рядом причин: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низкий уровень мотивации к получению знаний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 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преодолевших минимальный порог, отсутствие базовых знани</w:t>
      </w:r>
      <w:r w:rsidR="008D7507">
        <w:rPr>
          <w:rFonts w:ascii="Times New Roman" w:hAnsi="Times New Roman" w:cs="Times New Roman"/>
          <w:sz w:val="24"/>
          <w:szCs w:val="24"/>
        </w:rPr>
        <w:t xml:space="preserve">й у учащихся, текучесть кадров (5,6 класс </w:t>
      </w:r>
      <w:proofErr w:type="spellStart"/>
      <w:r w:rsidR="008D7507">
        <w:rPr>
          <w:rFonts w:ascii="Times New Roman" w:hAnsi="Times New Roman" w:cs="Times New Roman"/>
          <w:sz w:val="24"/>
          <w:szCs w:val="24"/>
        </w:rPr>
        <w:t>Калван-оол</w:t>
      </w:r>
      <w:proofErr w:type="spellEnd"/>
      <w:r w:rsidR="008D7507"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spellStart"/>
      <w:r w:rsidR="008D7507">
        <w:rPr>
          <w:rFonts w:ascii="Times New Roman" w:hAnsi="Times New Roman" w:cs="Times New Roman"/>
          <w:sz w:val="24"/>
          <w:szCs w:val="24"/>
        </w:rPr>
        <w:t>Кыргысовна</w:t>
      </w:r>
      <w:proofErr w:type="spellEnd"/>
      <w:r w:rsidR="008D7507">
        <w:rPr>
          <w:rFonts w:ascii="Times New Roman" w:hAnsi="Times New Roman" w:cs="Times New Roman"/>
          <w:sz w:val="24"/>
          <w:szCs w:val="24"/>
        </w:rPr>
        <w:t xml:space="preserve">, 7 класс </w:t>
      </w:r>
      <w:proofErr w:type="spellStart"/>
      <w:r w:rsidR="008D7507">
        <w:rPr>
          <w:rFonts w:ascii="Times New Roman" w:hAnsi="Times New Roman" w:cs="Times New Roman"/>
          <w:sz w:val="24"/>
          <w:szCs w:val="24"/>
        </w:rPr>
        <w:t>Балчынмай</w:t>
      </w:r>
      <w:proofErr w:type="spellEnd"/>
      <w:r w:rsidR="008D7507">
        <w:rPr>
          <w:rFonts w:ascii="Times New Roman" w:hAnsi="Times New Roman" w:cs="Times New Roman"/>
          <w:sz w:val="24"/>
          <w:szCs w:val="24"/>
        </w:rPr>
        <w:t xml:space="preserve"> База-</w:t>
      </w:r>
      <w:proofErr w:type="spellStart"/>
      <w:r w:rsidR="008D7507">
        <w:rPr>
          <w:rFonts w:ascii="Times New Roman" w:hAnsi="Times New Roman" w:cs="Times New Roman"/>
          <w:sz w:val="24"/>
          <w:szCs w:val="24"/>
        </w:rPr>
        <w:t>кыс</w:t>
      </w:r>
      <w:proofErr w:type="spellEnd"/>
      <w:r w:rsidR="008D7507">
        <w:rPr>
          <w:rFonts w:ascii="Times New Roman" w:hAnsi="Times New Roman" w:cs="Times New Roman"/>
          <w:sz w:val="24"/>
          <w:szCs w:val="24"/>
        </w:rPr>
        <w:t xml:space="preserve"> База-</w:t>
      </w:r>
      <w:proofErr w:type="spellStart"/>
      <w:r w:rsidR="008D7507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="008D7507">
        <w:rPr>
          <w:rFonts w:ascii="Times New Roman" w:hAnsi="Times New Roman" w:cs="Times New Roman"/>
          <w:sz w:val="24"/>
          <w:szCs w:val="24"/>
        </w:rPr>
        <w:t xml:space="preserve">, 8-9 класс </w:t>
      </w:r>
      <w:proofErr w:type="spellStart"/>
      <w:r w:rsidR="008D7507">
        <w:rPr>
          <w:rFonts w:ascii="Times New Roman" w:hAnsi="Times New Roman" w:cs="Times New Roman"/>
          <w:sz w:val="24"/>
          <w:szCs w:val="24"/>
        </w:rPr>
        <w:t>Шойдаа</w:t>
      </w:r>
      <w:proofErr w:type="spellEnd"/>
      <w:r w:rsidR="008D7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507">
        <w:rPr>
          <w:rFonts w:ascii="Times New Roman" w:hAnsi="Times New Roman" w:cs="Times New Roman"/>
          <w:sz w:val="24"/>
          <w:szCs w:val="24"/>
        </w:rPr>
        <w:t>Долаана</w:t>
      </w:r>
      <w:proofErr w:type="spellEnd"/>
      <w:r w:rsidR="008D7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7507">
        <w:rPr>
          <w:rFonts w:ascii="Times New Roman" w:hAnsi="Times New Roman" w:cs="Times New Roman"/>
          <w:sz w:val="24"/>
          <w:szCs w:val="24"/>
        </w:rPr>
        <w:t>Кыргысовна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E2D5F" w:rsidRDefault="006E2D5F" w:rsidP="006E2D5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Недостаточное стимулирование познавательной активности школьников со стороны родителей учащихся;</w:t>
      </w:r>
    </w:p>
    <w:p w:rsidR="006E2D5F" w:rsidRDefault="006E2D5F" w:rsidP="006E2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6E2D5F" w:rsidRDefault="006E2D5F" w:rsidP="006E2D5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школы взять под особый контроль вопрос о текучести кадров;</w:t>
      </w:r>
    </w:p>
    <w:p w:rsidR="006E2D5F" w:rsidRDefault="006E2D5F" w:rsidP="006E2D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Совершенствовать методику преподавания с учетом требований итоговой аттестации</w:t>
      </w:r>
    </w:p>
    <w:p w:rsidR="006E2D5F" w:rsidRDefault="006E2D5F" w:rsidP="006E2D5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Разработать систему стимулов, позволяющих эффективно влиять на подготовку к ОГЭ в школе и обеспечивающих достижения поставленных целей;</w:t>
      </w:r>
    </w:p>
    <w:p w:rsidR="006E2D5F" w:rsidRDefault="006E2D5F" w:rsidP="006E2D5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2D5F" w:rsidRDefault="006E2D5F" w:rsidP="006E2D5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2D5F" w:rsidRDefault="006E2D5F" w:rsidP="006E2D5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4D82" w:rsidRDefault="006E2D5F" w:rsidP="0043661E">
      <w:pPr>
        <w:spacing w:after="0"/>
        <w:ind w:left="360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Анализ составлен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ЗДУВРом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Кыргыс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</w:t>
      </w:r>
    </w:p>
    <w:sectPr w:rsidR="00364D82" w:rsidSect="004366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C6D"/>
    <w:multiLevelType w:val="hybridMultilevel"/>
    <w:tmpl w:val="94FA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524BA"/>
    <w:multiLevelType w:val="hybridMultilevel"/>
    <w:tmpl w:val="C3C4A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17062"/>
    <w:multiLevelType w:val="hybridMultilevel"/>
    <w:tmpl w:val="EBEC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5F"/>
    <w:rsid w:val="00364D82"/>
    <w:rsid w:val="0043661E"/>
    <w:rsid w:val="006E2D5F"/>
    <w:rsid w:val="008D7507"/>
    <w:rsid w:val="00D438D0"/>
    <w:rsid w:val="00F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529B8-42AE-4155-AAAD-FB8030D8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D5F"/>
    <w:pPr>
      <w:ind w:left="720"/>
      <w:contextualSpacing/>
    </w:pPr>
  </w:style>
  <w:style w:type="table" w:styleId="a4">
    <w:name w:val="Table Grid"/>
    <w:basedOn w:val="a1"/>
    <w:uiPriority w:val="39"/>
    <w:rsid w:val="006E2D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5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2018-06-13T11:28:00Z</dcterms:created>
  <dcterms:modified xsi:type="dcterms:W3CDTF">2019-06-15T05:04:00Z</dcterms:modified>
</cp:coreProperties>
</file>